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FE" w:rsidRDefault="008B23FE"/>
    <w:tbl>
      <w:tblPr>
        <w:bidiVisual/>
        <w:tblW w:w="454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1487"/>
        <w:gridCol w:w="1462"/>
        <w:gridCol w:w="3358"/>
      </w:tblGrid>
      <w:tr w:rsidR="008B23FE" w:rsidTr="008B23FE">
        <w:trPr>
          <w:trHeight w:val="1109"/>
          <w:jc w:val="center"/>
        </w:trPr>
        <w:tc>
          <w:tcPr>
            <w:tcW w:w="17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3FE" w:rsidRDefault="008B23FE">
            <w:pPr>
              <w:bidi/>
              <w:spacing w:line="252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KW"/>
              </w:rPr>
              <w:t>شركة نفط الكويت</w:t>
            </w:r>
          </w:p>
          <w:p w:rsidR="008B23FE" w:rsidRDefault="008B23FE">
            <w:pPr>
              <w:bidi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rtl/>
                <w:lang w:bidi="ar-KW"/>
              </w:rPr>
              <w:t>مستشفى الأحمدي</w:t>
            </w:r>
          </w:p>
          <w:p w:rsidR="008B23FE" w:rsidRDefault="008B23FE">
            <w:pPr>
              <w:bidi/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rtl/>
                <w:lang w:bidi="ar-KW"/>
              </w:rPr>
              <w:t>قسم نظم وإدارة المعلومات الصحية</w:t>
            </w:r>
          </w:p>
        </w:tc>
        <w:tc>
          <w:tcPr>
            <w:tcW w:w="150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3FE" w:rsidRDefault="008B23F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76885" cy="588645"/>
                  <wp:effectExtent l="0" t="0" r="0" b="1905"/>
                  <wp:docPr id="1" name="Picture 1" descr="ko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3FE" w:rsidRDefault="008B23FE">
            <w:pPr>
              <w:pStyle w:val="Header"/>
              <w:bidi w:val="0"/>
              <w:spacing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Kuwait Oil Company</w:t>
            </w:r>
          </w:p>
          <w:p w:rsidR="008B23FE" w:rsidRDefault="008B23FE">
            <w:pPr>
              <w:pStyle w:val="Header"/>
              <w:bidi w:val="0"/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Ahmadi Hospital</w:t>
            </w:r>
          </w:p>
          <w:p w:rsidR="008B23FE" w:rsidRDefault="008B23FE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Health Information Management System Division</w:t>
            </w:r>
          </w:p>
        </w:tc>
      </w:tr>
      <w:tr w:rsidR="008B23FE" w:rsidTr="008B23FE">
        <w:trPr>
          <w:trHeight w:val="479"/>
          <w:jc w:val="center"/>
        </w:trPr>
        <w:tc>
          <w:tcPr>
            <w:tcW w:w="25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3FE" w:rsidRDefault="00B81496">
            <w:pPr>
              <w:bidi/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hint="cs"/>
                <w:b/>
                <w:bCs/>
                <w:color w:val="FFFFFF"/>
                <w:sz w:val="32"/>
                <w:szCs w:val="32"/>
                <w:rtl/>
                <w:lang w:bidi="ar-KW"/>
              </w:rPr>
              <w:t xml:space="preserve">خدمة </w:t>
            </w:r>
            <w:r w:rsidR="008B23FE"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rtl/>
                <w:lang w:bidi="ar-KW"/>
              </w:rPr>
              <w:t>فتح الملفات الطبية الجديدة</w:t>
            </w:r>
            <w:bookmarkEnd w:id="0"/>
          </w:p>
        </w:tc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3FE" w:rsidRDefault="008B23F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Opening New Medical Files</w:t>
            </w:r>
            <w:r w:rsidR="00B81496">
              <w:rPr>
                <w:b/>
                <w:bCs/>
                <w:color w:val="FFFFFF"/>
                <w:sz w:val="28"/>
                <w:szCs w:val="28"/>
              </w:rPr>
              <w:t xml:space="preserve"> Service</w:t>
            </w:r>
          </w:p>
          <w:p w:rsidR="008B23FE" w:rsidRDefault="008B23F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B23FE" w:rsidTr="008B23FE">
        <w:trPr>
          <w:trHeight w:val="700"/>
          <w:jc w:val="center"/>
        </w:trPr>
        <w:tc>
          <w:tcPr>
            <w:tcW w:w="25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3FE" w:rsidRDefault="00E07B7D">
            <w:pPr>
              <w:bidi/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rtl/>
                <w:lang w:bidi="ar-KW"/>
              </w:rPr>
              <w:t>لموظفي</w:t>
            </w:r>
            <w:r>
              <w:rPr>
                <w:rFonts w:ascii="Times New Roman" w:hAnsi="Times New Roman" w:hint="cs"/>
                <w:b/>
                <w:bCs/>
                <w:color w:val="FFFFFF"/>
                <w:sz w:val="28"/>
                <w:szCs w:val="28"/>
                <w:rtl/>
                <w:lang w:bidi="ar-KW"/>
              </w:rPr>
              <w:t xml:space="preserve"> القطاع النفطي</w:t>
            </w:r>
            <w:r w:rsidR="008B23FE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rtl/>
                <w:lang w:bidi="ar-KW"/>
              </w:rPr>
              <w:t xml:space="preserve"> الجدد وعائلاتهم من مستحقي العلاج الطبي</w:t>
            </w:r>
          </w:p>
        </w:tc>
        <w:tc>
          <w:tcPr>
            <w:tcW w:w="2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3FE" w:rsidRDefault="008B23FE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</w:rPr>
              <w:t xml:space="preserve">For </w:t>
            </w:r>
            <w:r w:rsidR="00E07B7D">
              <w:rPr>
                <w:b/>
                <w:bCs/>
                <w:color w:val="FFFFFF"/>
              </w:rPr>
              <w:t xml:space="preserve">New Oil Sector’s </w:t>
            </w:r>
            <w:r>
              <w:rPr>
                <w:b/>
                <w:bCs/>
                <w:color w:val="FFFFFF"/>
              </w:rPr>
              <w:t>Employees &amp; their eligible Families</w:t>
            </w:r>
          </w:p>
        </w:tc>
      </w:tr>
      <w:tr w:rsidR="008B23FE" w:rsidTr="00B81496">
        <w:trPr>
          <w:trHeight w:val="6352"/>
          <w:jc w:val="center"/>
        </w:trPr>
        <w:tc>
          <w:tcPr>
            <w:tcW w:w="25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3FE" w:rsidRPr="00B81496" w:rsidRDefault="00B81496" w:rsidP="00B81496">
            <w:pPr>
              <w:bidi/>
              <w:spacing w:line="252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81496">
              <w:rPr>
                <w:rFonts w:ascii="Sakkal Majalla" w:hAnsi="Sakkal Majalla" w:cs="Sakkal Majalla"/>
                <w:sz w:val="28"/>
                <w:szCs w:val="28"/>
                <w:rtl/>
                <w:lang w:bidi="ar-KW"/>
              </w:rPr>
              <w:t xml:space="preserve">لتسهيل آلية </w:t>
            </w:r>
            <w:r w:rsidR="008B23FE" w:rsidRPr="00B81496">
              <w:rPr>
                <w:rFonts w:ascii="Sakkal Majalla" w:hAnsi="Sakkal Majalla" w:cs="Sakkal Majalla"/>
                <w:sz w:val="28"/>
                <w:szCs w:val="28"/>
                <w:rtl/>
                <w:lang w:bidi="ar-KW"/>
              </w:rPr>
              <w:t xml:space="preserve">فتح الملفات الطبية الجديدة لموظفي القطاع النفطي الجدد وعائلاتهم من مستحقي العلاج الطبي، قمنا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KW"/>
              </w:rPr>
              <w:t>بتوفير</w:t>
            </w:r>
            <w:r w:rsidR="008B23FE" w:rsidRPr="00B81496">
              <w:rPr>
                <w:rFonts w:ascii="Sakkal Majalla" w:hAnsi="Sakkal Majalla" w:cs="Sakkal Majalla"/>
                <w:sz w:val="28"/>
                <w:szCs w:val="28"/>
                <w:rtl/>
                <w:lang w:bidi="ar-KW"/>
              </w:rPr>
              <w:t xml:space="preserve"> خدمة آلية جديدة لهؤلاء الموظفين،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KW"/>
              </w:rPr>
              <w:t>من خلال</w:t>
            </w:r>
            <w:r w:rsidR="008B23FE" w:rsidRPr="00B81496">
              <w:rPr>
                <w:rFonts w:ascii="Sakkal Majalla" w:hAnsi="Sakkal Majalla" w:cs="Sakkal Majalla"/>
                <w:sz w:val="28"/>
                <w:szCs w:val="28"/>
                <w:rtl/>
                <w:lang w:bidi="ar-KW"/>
              </w:rPr>
              <w:t xml:space="preserve"> تعبئة النموذج المرفق وإرفاقه مع الأوراق المطلوبة وإرسال رسالة إلكترونية من بريده الالكتروني الخاص بالشركة أو القسم الذي يعمل فيه ضمن القطاع النفطي إلى</w:t>
            </w:r>
          </w:p>
          <w:p w:rsidR="008B23FE" w:rsidRDefault="00B81496">
            <w:pPr>
              <w:bidi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8B23FE">
                <w:rPr>
                  <w:rStyle w:val="Hyperlink"/>
                </w:rPr>
                <w:t>medical_records@kockw.com</w:t>
              </w:r>
            </w:hyperlink>
            <w:r w:rsidR="008B23FE">
              <w:rPr>
                <w:rFonts w:hint="cs"/>
              </w:rPr>
              <w:t xml:space="preserve"> </w:t>
            </w:r>
          </w:p>
          <w:p w:rsidR="007A656E" w:rsidRPr="00B81496" w:rsidRDefault="008B23FE" w:rsidP="007A656E">
            <w:pPr>
              <w:bidi/>
              <w:spacing w:line="252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KW"/>
              </w:rPr>
            </w:pPr>
            <w:r w:rsidRPr="00B81496">
              <w:rPr>
                <w:rFonts w:ascii="Sakkal Majalla" w:hAnsi="Sakkal Majalla" w:cs="Sakkal Majalla"/>
                <w:sz w:val="28"/>
                <w:szCs w:val="28"/>
                <w:rtl/>
                <w:lang w:bidi="ar-KW"/>
              </w:rPr>
              <w:t xml:space="preserve">عند استلامنا للبريد الالكتروني والتدقيق على الأوراق الرسمية المطلوبة واستكمالها، سيقوم القسم المختص بفتح الملفات الطبية حسب أحقية العلاج </w:t>
            </w:r>
            <w:r w:rsidR="007A656E" w:rsidRPr="00B81496">
              <w:rPr>
                <w:rFonts w:ascii="Sakkal Majalla" w:hAnsi="Sakkal Majalla" w:cs="Sakkal Majalla"/>
                <w:sz w:val="28"/>
                <w:szCs w:val="28"/>
                <w:rtl/>
                <w:lang w:bidi="ar-KW"/>
              </w:rPr>
              <w:t xml:space="preserve">المتبعة وإبلاغ الموظف عن طريق </w:t>
            </w:r>
            <w:r w:rsidR="007A656E" w:rsidRPr="00B81496">
              <w:rPr>
                <w:rFonts w:ascii="Sakkal Majalla" w:hAnsi="Sakkal Majalla" w:cs="Sakkal Majalla" w:hint="cs"/>
                <w:sz w:val="28"/>
                <w:szCs w:val="28"/>
                <w:rtl/>
                <w:lang w:bidi="ar-KW"/>
              </w:rPr>
              <w:t>ال</w:t>
            </w:r>
            <w:r w:rsidRPr="00B81496">
              <w:rPr>
                <w:rFonts w:ascii="Sakkal Majalla" w:hAnsi="Sakkal Majalla" w:cs="Sakkal Majalla"/>
                <w:sz w:val="28"/>
                <w:szCs w:val="28"/>
                <w:rtl/>
                <w:lang w:bidi="ar-KW"/>
              </w:rPr>
              <w:t>بريد الالكتروني</w:t>
            </w:r>
            <w:r w:rsidR="007A656E" w:rsidRPr="00B81496">
              <w:rPr>
                <w:rFonts w:ascii="Sakkal Majalla" w:hAnsi="Sakkal Majalla" w:cs="Sakkal Majalla" w:hint="cs"/>
                <w:sz w:val="28"/>
                <w:szCs w:val="28"/>
                <w:rtl/>
                <w:lang w:bidi="ar-KW"/>
              </w:rPr>
              <w:t xml:space="preserve"> الخاص به.</w:t>
            </w:r>
          </w:p>
          <w:p w:rsidR="008B23FE" w:rsidRDefault="00B81496" w:rsidP="007A656E">
            <w:pPr>
              <w:bidi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B23FE">
                <w:rPr>
                  <w:rStyle w:val="Hyperlink"/>
                  <w:rFonts w:ascii="Arial" w:hAnsi="Arial" w:cs="Arial" w:hint="cs"/>
                  <w:sz w:val="28"/>
                  <w:szCs w:val="28"/>
                  <w:rtl/>
                  <w:lang w:bidi="ar-KW"/>
                </w:rPr>
                <w:t>نموذج فتح وتعديل الملف الطبي</w:t>
              </w:r>
            </w:hyperlink>
          </w:p>
        </w:tc>
        <w:tc>
          <w:tcPr>
            <w:tcW w:w="2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3FE" w:rsidRDefault="00B81496" w:rsidP="00B81496">
            <w:pPr>
              <w:spacing w:line="252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</w:t>
            </w:r>
            <w:r w:rsidR="008B23FE">
              <w:rPr>
                <w:rFonts w:ascii="Times New Roman" w:hAnsi="Times New Roman"/>
                <w:sz w:val="25"/>
                <w:szCs w:val="25"/>
              </w:rPr>
              <w:t xml:space="preserve">o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facilitate </w:t>
            </w:r>
            <w:r w:rsidR="008B23FE">
              <w:rPr>
                <w:rFonts w:ascii="Times New Roman" w:hAnsi="Times New Roman"/>
                <w:sz w:val="25"/>
                <w:szCs w:val="25"/>
              </w:rPr>
              <w:t xml:space="preserve">the </w:t>
            </w:r>
            <w:r>
              <w:rPr>
                <w:rFonts w:ascii="Times New Roman" w:hAnsi="Times New Roman"/>
                <w:sz w:val="25"/>
                <w:szCs w:val="25"/>
              </w:rPr>
              <w:t>mechanism of</w:t>
            </w:r>
            <w:r w:rsidR="008B23F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opening new</w:t>
            </w:r>
            <w:r w:rsidR="008B23FE">
              <w:rPr>
                <w:rFonts w:ascii="Times New Roman" w:hAnsi="Times New Roman"/>
                <w:sz w:val="25"/>
                <w:szCs w:val="25"/>
              </w:rPr>
              <w:t xml:space="preserve"> medical files </w:t>
            </w:r>
            <w:r w:rsidR="00AD1173">
              <w:rPr>
                <w:rFonts w:ascii="Times New Roman" w:hAnsi="Times New Roman"/>
                <w:sz w:val="25"/>
                <w:szCs w:val="25"/>
              </w:rPr>
              <w:t xml:space="preserve">for the new Oil Sector’s </w:t>
            </w:r>
            <w:r w:rsidR="008B23FE">
              <w:rPr>
                <w:rFonts w:ascii="Times New Roman" w:hAnsi="Times New Roman"/>
                <w:sz w:val="25"/>
                <w:szCs w:val="25"/>
              </w:rPr>
              <w:t>employees and their eligib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le families, we have provided an </w:t>
            </w:r>
            <w:r w:rsidR="008B23FE">
              <w:rPr>
                <w:rFonts w:ascii="Times New Roman" w:hAnsi="Times New Roman"/>
                <w:sz w:val="25"/>
                <w:szCs w:val="25"/>
              </w:rPr>
              <w:t>electronic service to these employees. With this service, the employee can fill out the form attached with the required documents and se</w:t>
            </w:r>
            <w:r w:rsidR="00AD1173">
              <w:rPr>
                <w:rFonts w:ascii="Times New Roman" w:hAnsi="Times New Roman"/>
                <w:sz w:val="25"/>
                <w:szCs w:val="25"/>
              </w:rPr>
              <w:t>nd them via his/her K-</w:t>
            </w:r>
            <w:r w:rsidR="008B23FE">
              <w:rPr>
                <w:rFonts w:ascii="Times New Roman" w:hAnsi="Times New Roman"/>
                <w:sz w:val="25"/>
                <w:szCs w:val="25"/>
              </w:rPr>
              <w:t xml:space="preserve">Company’s email to </w:t>
            </w:r>
            <w:hyperlink r:id="rId8" w:history="1">
              <w:r w:rsidR="008B23FE">
                <w:rPr>
                  <w:rStyle w:val="Hyperlink"/>
                  <w:rFonts w:ascii="Times New Roman" w:hAnsi="Times New Roman"/>
                  <w:sz w:val="25"/>
                  <w:szCs w:val="25"/>
                </w:rPr>
                <w:t>medical_records@kockw.com</w:t>
              </w:r>
            </w:hyperlink>
            <w:r w:rsidR="008B23FE">
              <w:rPr>
                <w:rFonts w:ascii="Times New Roman" w:hAnsi="Times New Roman"/>
                <w:sz w:val="25"/>
                <w:szCs w:val="25"/>
              </w:rPr>
              <w:t xml:space="preserve"> .</w:t>
            </w:r>
          </w:p>
          <w:p w:rsidR="007A656E" w:rsidRDefault="008B23FE" w:rsidP="007A656E">
            <w:pPr>
              <w:spacing w:line="252" w:lineRule="auto"/>
              <w:jc w:val="both"/>
              <w:rPr>
                <w:rFonts w:ascii="Times New Roman" w:hAnsi="Times New Roman"/>
                <w:sz w:val="25"/>
                <w:szCs w:val="25"/>
                <w:rtl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Upon receiving the email, and checking all submitted documents for completeness</w:t>
            </w:r>
            <w:r>
              <w:rPr>
                <w:rFonts w:ascii="Times New Roman" w:hAnsi="Times New Roman"/>
                <w:color w:val="1F497D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as per the treatment policy, the medical files will be opened and the employee will be informed via email</w:t>
            </w:r>
            <w:r w:rsidR="007A656E">
              <w:rPr>
                <w:rFonts w:ascii="Times New Roman" w:hAnsi="Times New Roman" w:hint="cs"/>
                <w:sz w:val="25"/>
                <w:szCs w:val="25"/>
                <w:rtl/>
              </w:rPr>
              <w:t>.</w:t>
            </w:r>
          </w:p>
          <w:p w:rsidR="008B23FE" w:rsidRDefault="00B81496" w:rsidP="007A656E">
            <w:pPr>
              <w:spacing w:line="252" w:lineRule="auto"/>
              <w:jc w:val="center"/>
              <w:rPr>
                <w:rFonts w:ascii="Times New Roman" w:hAnsi="Times New Roman"/>
                <w:color w:val="1F497D"/>
                <w:sz w:val="26"/>
                <w:szCs w:val="26"/>
              </w:rPr>
            </w:pPr>
            <w:hyperlink r:id="rId9" w:history="1">
              <w:r w:rsidR="008B23F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Open or Edit Medical Records Form</w:t>
              </w:r>
            </w:hyperlink>
          </w:p>
        </w:tc>
      </w:tr>
    </w:tbl>
    <w:p w:rsidR="008B23FE" w:rsidRDefault="008B23FE"/>
    <w:p w:rsidR="008B23FE" w:rsidRDefault="008B23FE"/>
    <w:p w:rsidR="008B23FE" w:rsidRDefault="008B23FE"/>
    <w:p w:rsidR="008B23FE" w:rsidRDefault="008B23FE"/>
    <w:sectPr w:rsidR="008B23FE" w:rsidSect="008B23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FE"/>
    <w:rsid w:val="005419E1"/>
    <w:rsid w:val="007A656E"/>
    <w:rsid w:val="008B23FE"/>
    <w:rsid w:val="00AD1173"/>
    <w:rsid w:val="00B81496"/>
    <w:rsid w:val="00E07B7D"/>
    <w:rsid w:val="00F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51535-D859-40D5-AE8E-223EEC9F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F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3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23FE"/>
    <w:pPr>
      <w:bidi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B23FE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_records@kockw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mykocportal.kockw.com/sites/A/MG/Medical%20Group%20Announcments/2015/KOC%20Postmaster/Open%20or%20Edit%20Medical%20Records.pd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l_records@kockw.com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3.jpg@01D1220E.E7B17BB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ykocportal.kockw.com/sites/A/MG/Medical%20Group%20Announcments/2015/KOC%20Postmaster/Open%20or%20Edit%20Medical%20Records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8F202C70BFE45815D0BBD415E9DE3" ma:contentTypeVersion="1" ma:contentTypeDescription="Create a new document." ma:contentTypeScope="" ma:versionID="ede3bde30b55f07c29a36e72936313ce">
  <xsd:schema xmlns:xsd="http://www.w3.org/2001/XMLSchema" xmlns:xs="http://www.w3.org/2001/XMLSchema" xmlns:p="http://schemas.microsoft.com/office/2006/metadata/properties" xmlns:ns2="c6565fcd-3a7e-4365-a368-9930fd23f4c0" targetNamespace="http://schemas.microsoft.com/office/2006/metadata/properties" ma:root="true" ma:fieldsID="e3f7946aa09b47e40698f7e01450827d" ns2:_="">
    <xsd:import namespace="c6565fcd-3a7e-4365-a368-9930fd23f4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5fcd-3a7e-4365-a368-9930fd23f4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7F78B-0192-4BF9-B4ED-D622FA5B696B}"/>
</file>

<file path=customXml/itemProps2.xml><?xml version="1.0" encoding="utf-8"?>
<ds:datastoreItem xmlns:ds="http://schemas.openxmlformats.org/officeDocument/2006/customXml" ds:itemID="{B6CF1F03-FE51-4009-AB12-C52E84B9E8AE}"/>
</file>

<file path=customXml/itemProps3.xml><?xml version="1.0" encoding="utf-8"?>
<ds:datastoreItem xmlns:ds="http://schemas.openxmlformats.org/officeDocument/2006/customXml" ds:itemID="{DE01E696-0723-4498-A74F-C8F60D60B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Oil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Ziadeh, Roger</dc:creator>
  <cp:keywords/>
  <dc:description/>
  <cp:lastModifiedBy>Mubarak, Mona Abdulla</cp:lastModifiedBy>
  <cp:revision>2</cp:revision>
  <dcterms:created xsi:type="dcterms:W3CDTF">2019-01-21T07:54:00Z</dcterms:created>
  <dcterms:modified xsi:type="dcterms:W3CDTF">2019-01-21T07:54:00Z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0x01010032C8F202C70BFE45815D0BBD415E9DE3</vt:lpwstr>
  </property>
</Properties>
</file>